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81" w:rsidRDefault="00DD4881" w:rsidP="00DD4881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81" w:rsidRDefault="00DD4881" w:rsidP="00DD4881">
      <w:pPr>
        <w:jc w:val="right"/>
        <w:rPr>
          <w:b/>
          <w:lang w:val="uk-UA"/>
        </w:rPr>
      </w:pPr>
    </w:p>
    <w:p w:rsidR="00DD4881" w:rsidRDefault="00DD4881" w:rsidP="00DD4881">
      <w:pPr>
        <w:tabs>
          <w:tab w:val="left" w:pos="6949"/>
        </w:tabs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УКРАЇНА</w:t>
      </w:r>
    </w:p>
    <w:p w:rsidR="00DD4881" w:rsidRDefault="00DD4881" w:rsidP="00DD48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D4881" w:rsidRDefault="00DD4881" w:rsidP="00DD4881">
      <w:pPr>
        <w:jc w:val="center"/>
        <w:rPr>
          <w:sz w:val="6"/>
          <w:szCs w:val="6"/>
        </w:rPr>
      </w:pPr>
    </w:p>
    <w:p w:rsidR="00DD4881" w:rsidRDefault="00DD4881" w:rsidP="00DD4881">
      <w:pPr>
        <w:pStyle w:val="1"/>
        <w:ind w:firstLine="0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DD4881" w:rsidRPr="00916FC1" w:rsidRDefault="00812C74" w:rsidP="00DD4881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>37</w:t>
      </w:r>
      <w:r w:rsidR="00DD4881">
        <w:rPr>
          <w:sz w:val="32"/>
          <w:lang w:val="uk-UA"/>
        </w:rPr>
        <w:t xml:space="preserve"> сесія</w:t>
      </w:r>
      <w:r w:rsidR="00DD4881">
        <w:rPr>
          <w:sz w:val="32"/>
        </w:rPr>
        <w:t xml:space="preserve"> </w:t>
      </w:r>
      <w:r w:rsidR="00DD4881">
        <w:rPr>
          <w:sz w:val="32"/>
          <w:lang w:val="en-US"/>
        </w:rPr>
        <w:t>VII</w:t>
      </w:r>
      <w:r w:rsidR="00DD4881">
        <w:rPr>
          <w:sz w:val="32"/>
        </w:rPr>
        <w:t xml:space="preserve"> </w:t>
      </w:r>
      <w:r w:rsidR="00DD4881">
        <w:rPr>
          <w:sz w:val="32"/>
          <w:lang w:val="uk-UA"/>
        </w:rPr>
        <w:t>скликання</w:t>
      </w:r>
    </w:p>
    <w:p w:rsidR="00DD4881" w:rsidRDefault="00DD4881" w:rsidP="00DD488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DD4881" w:rsidRDefault="00DD4881" w:rsidP="00DD4881">
      <w:pPr>
        <w:jc w:val="center"/>
        <w:rPr>
          <w:b/>
          <w:sz w:val="28"/>
          <w:szCs w:val="28"/>
        </w:rPr>
      </w:pPr>
    </w:p>
    <w:p w:rsidR="00DD4881" w:rsidRDefault="00DD4881" w:rsidP="00812C7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400D04">
        <w:rPr>
          <w:sz w:val="28"/>
          <w:szCs w:val="28"/>
        </w:rPr>
        <w:t xml:space="preserve"> «</w:t>
      </w:r>
      <w:r w:rsidR="00812C74">
        <w:rPr>
          <w:sz w:val="28"/>
          <w:szCs w:val="28"/>
          <w:lang w:val="uk-UA"/>
        </w:rPr>
        <w:t>11</w:t>
      </w:r>
      <w:r w:rsidRPr="00400D04">
        <w:rPr>
          <w:sz w:val="28"/>
          <w:szCs w:val="28"/>
          <w:lang w:val="uk-UA"/>
        </w:rPr>
        <w:t xml:space="preserve">» </w:t>
      </w:r>
      <w:r w:rsidR="00812C74">
        <w:rPr>
          <w:sz w:val="28"/>
          <w:szCs w:val="28"/>
          <w:lang w:val="uk-UA"/>
        </w:rPr>
        <w:t xml:space="preserve">квітня </w:t>
      </w:r>
      <w:r w:rsidRPr="00400D04">
        <w:rPr>
          <w:sz w:val="28"/>
          <w:szCs w:val="28"/>
        </w:rPr>
        <w:t>201</w:t>
      </w:r>
      <w:r w:rsidR="00781BFB">
        <w:rPr>
          <w:sz w:val="28"/>
          <w:szCs w:val="28"/>
          <w:lang w:val="uk-UA"/>
        </w:rPr>
        <w:t>8</w:t>
      </w:r>
      <w:r w:rsidRPr="00400D04">
        <w:rPr>
          <w:sz w:val="28"/>
          <w:szCs w:val="28"/>
        </w:rPr>
        <w:t xml:space="preserve"> р.</w:t>
      </w:r>
      <w:r w:rsidRPr="00400D04">
        <w:rPr>
          <w:sz w:val="28"/>
          <w:szCs w:val="28"/>
          <w:lang w:val="uk-UA"/>
        </w:rPr>
        <w:t xml:space="preserve">    </w:t>
      </w:r>
      <w:r w:rsidR="00812C74">
        <w:rPr>
          <w:sz w:val="28"/>
          <w:szCs w:val="28"/>
          <w:lang w:val="uk-UA"/>
        </w:rPr>
        <w:t xml:space="preserve">      </w:t>
      </w:r>
      <w:r w:rsidRPr="00400D04">
        <w:rPr>
          <w:sz w:val="28"/>
          <w:szCs w:val="28"/>
          <w:lang w:val="uk-UA"/>
        </w:rPr>
        <w:t xml:space="preserve">      </w:t>
      </w:r>
      <w:r w:rsidRPr="00400D04">
        <w:rPr>
          <w:sz w:val="28"/>
          <w:szCs w:val="28"/>
        </w:rPr>
        <w:t xml:space="preserve">м. </w:t>
      </w:r>
      <w:r>
        <w:rPr>
          <w:sz w:val="28"/>
          <w:szCs w:val="28"/>
          <w:lang w:val="uk-UA"/>
        </w:rPr>
        <w:t>Ніжин</w:t>
      </w:r>
      <w:r w:rsidRPr="00400D04">
        <w:rPr>
          <w:sz w:val="28"/>
          <w:szCs w:val="28"/>
        </w:rPr>
        <w:tab/>
        <w:t xml:space="preserve">              </w:t>
      </w:r>
      <w:r w:rsidRPr="00400D04">
        <w:rPr>
          <w:sz w:val="28"/>
          <w:szCs w:val="28"/>
          <w:lang w:val="uk-UA"/>
        </w:rPr>
        <w:t xml:space="preserve">          </w:t>
      </w:r>
      <w:r w:rsidRPr="00400D04">
        <w:rPr>
          <w:sz w:val="28"/>
          <w:szCs w:val="28"/>
        </w:rPr>
        <w:t xml:space="preserve"> №</w:t>
      </w:r>
      <w:r w:rsidR="00812C74">
        <w:rPr>
          <w:sz w:val="28"/>
          <w:szCs w:val="28"/>
          <w:lang w:val="uk-UA"/>
        </w:rPr>
        <w:t xml:space="preserve"> 14-37/2018</w:t>
      </w:r>
    </w:p>
    <w:p w:rsidR="0088007A" w:rsidRDefault="0088007A" w:rsidP="00DD4881">
      <w:pPr>
        <w:ind w:firstLine="0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D4881" w:rsidRPr="00812C74" w:rsidTr="00DD4881">
        <w:tc>
          <w:tcPr>
            <w:tcW w:w="4644" w:type="dxa"/>
          </w:tcPr>
          <w:p w:rsidR="00DD4881" w:rsidRPr="007529F9" w:rsidRDefault="00DD4881" w:rsidP="00DD4881">
            <w:pPr>
              <w:ind w:firstLine="0"/>
              <w:rPr>
                <w:sz w:val="28"/>
                <w:szCs w:val="28"/>
                <w:lang w:val="uk-UA"/>
              </w:rPr>
            </w:pPr>
            <w:r w:rsidRPr="007529F9">
              <w:rPr>
                <w:sz w:val="28"/>
                <w:szCs w:val="28"/>
                <w:lang w:val="uk-UA"/>
              </w:rPr>
              <w:t>Про перелік об’єктів комунальної власності територіальної громади міста Ніжина, що підлягають приватизації</w:t>
            </w:r>
          </w:p>
        </w:tc>
      </w:tr>
    </w:tbl>
    <w:p w:rsidR="00DD4881" w:rsidRDefault="00DD4881" w:rsidP="00DD4881">
      <w:pPr>
        <w:ind w:firstLine="0"/>
        <w:rPr>
          <w:lang w:val="uk-UA"/>
        </w:rPr>
      </w:pPr>
    </w:p>
    <w:p w:rsidR="00DD4881" w:rsidRPr="00CB383C" w:rsidRDefault="00DD4881" w:rsidP="00DD4881">
      <w:pPr>
        <w:ind w:firstLine="0"/>
        <w:rPr>
          <w:sz w:val="27"/>
          <w:szCs w:val="27"/>
          <w:lang w:val="uk-UA"/>
        </w:rPr>
      </w:pPr>
      <w:r>
        <w:rPr>
          <w:lang w:val="uk-UA"/>
        </w:rPr>
        <w:tab/>
      </w:r>
      <w:r w:rsidRPr="00CB383C">
        <w:rPr>
          <w:sz w:val="27"/>
          <w:szCs w:val="27"/>
          <w:lang w:val="uk-UA"/>
        </w:rPr>
        <w:t>У відповідності до статей 25, 26, 42,</w:t>
      </w:r>
      <w:r w:rsidR="00927D61" w:rsidRPr="00CB383C">
        <w:rPr>
          <w:sz w:val="27"/>
          <w:szCs w:val="27"/>
          <w:lang w:val="uk-UA"/>
        </w:rPr>
        <w:t xml:space="preserve"> </w:t>
      </w:r>
      <w:r w:rsidRPr="00CB383C">
        <w:rPr>
          <w:sz w:val="27"/>
          <w:szCs w:val="27"/>
          <w:lang w:val="uk-UA"/>
        </w:rPr>
        <w:t xml:space="preserve">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</w:t>
      </w:r>
      <w:r w:rsidR="0084273F" w:rsidRPr="00CB383C">
        <w:rPr>
          <w:sz w:val="27"/>
          <w:szCs w:val="27"/>
          <w:lang w:val="uk-UA"/>
        </w:rPr>
        <w:t xml:space="preserve">статей 7, 11 </w:t>
      </w:r>
      <w:r w:rsidRPr="00CB383C">
        <w:rPr>
          <w:sz w:val="27"/>
          <w:szCs w:val="27"/>
          <w:lang w:val="uk-UA"/>
        </w:rPr>
        <w:t>Закону України «Про приватизацію невеликих державних підприємств (малу приватизацію)», інших законодавчих та нормативних актів, що регламентують процес приватизації, Ніжинська міська рада вирішила:</w:t>
      </w:r>
    </w:p>
    <w:p w:rsidR="00DD4881" w:rsidRPr="00CB383C" w:rsidRDefault="00B02036" w:rsidP="00B02036">
      <w:pPr>
        <w:rPr>
          <w:sz w:val="27"/>
          <w:szCs w:val="27"/>
          <w:lang w:val="uk-UA"/>
        </w:rPr>
      </w:pPr>
      <w:r w:rsidRPr="00CB383C">
        <w:rPr>
          <w:sz w:val="27"/>
          <w:szCs w:val="27"/>
          <w:lang w:val="uk-UA"/>
        </w:rPr>
        <w:t>1.</w:t>
      </w:r>
      <w:r w:rsidR="00A6315C" w:rsidRPr="00CB383C">
        <w:rPr>
          <w:sz w:val="27"/>
          <w:szCs w:val="27"/>
          <w:lang w:val="uk-UA"/>
        </w:rPr>
        <w:t> </w:t>
      </w:r>
      <w:r w:rsidRPr="00CB383C">
        <w:rPr>
          <w:sz w:val="27"/>
          <w:szCs w:val="27"/>
          <w:lang w:val="uk-UA"/>
        </w:rPr>
        <w:t>Затвердити перелік об’єктів комунальної власності територіальної громади міста Ніжина, що підлягають приватизації (додаток № 1).</w:t>
      </w:r>
    </w:p>
    <w:p w:rsidR="007529F9" w:rsidRPr="00CB383C" w:rsidRDefault="00A6315C" w:rsidP="00B02036">
      <w:pPr>
        <w:rPr>
          <w:sz w:val="27"/>
          <w:szCs w:val="27"/>
          <w:lang w:val="uk-UA"/>
        </w:rPr>
      </w:pPr>
      <w:r w:rsidRPr="00CB383C">
        <w:rPr>
          <w:sz w:val="27"/>
          <w:szCs w:val="27"/>
          <w:lang w:val="uk-UA"/>
        </w:rPr>
        <w:t>2. </w:t>
      </w:r>
      <w:r w:rsidR="00491CF9" w:rsidRPr="00CB383C">
        <w:rPr>
          <w:sz w:val="27"/>
          <w:szCs w:val="27"/>
          <w:lang w:val="uk-UA"/>
        </w:rPr>
        <w:t>Строк підготовки об’єкта</w:t>
      </w:r>
      <w:r w:rsidR="00B02036" w:rsidRPr="00CB383C">
        <w:rPr>
          <w:sz w:val="27"/>
          <w:szCs w:val="27"/>
          <w:lang w:val="uk-UA"/>
        </w:rPr>
        <w:t xml:space="preserve"> приватизації</w:t>
      </w:r>
      <w:r w:rsidR="00104CE6" w:rsidRPr="00CB383C">
        <w:rPr>
          <w:sz w:val="27"/>
          <w:szCs w:val="27"/>
          <w:lang w:val="uk-UA"/>
        </w:rPr>
        <w:t xml:space="preserve"> </w:t>
      </w:r>
      <w:r w:rsidR="00944B6C" w:rsidRPr="00CB383C">
        <w:rPr>
          <w:sz w:val="27"/>
          <w:szCs w:val="27"/>
          <w:lang w:val="uk-UA"/>
        </w:rPr>
        <w:t xml:space="preserve">до продажу </w:t>
      </w:r>
      <w:r w:rsidR="00B02036" w:rsidRPr="00CB383C">
        <w:rPr>
          <w:sz w:val="27"/>
          <w:szCs w:val="27"/>
          <w:lang w:val="uk-UA"/>
        </w:rPr>
        <w:t>не повинен перевищувати одного року з дня прийняття даного рішення</w:t>
      </w:r>
    </w:p>
    <w:p w:rsidR="00B02036" w:rsidRPr="00CB383C" w:rsidRDefault="00A6315C" w:rsidP="00B02036">
      <w:pPr>
        <w:rPr>
          <w:sz w:val="27"/>
          <w:szCs w:val="27"/>
          <w:lang w:val="uk-UA"/>
        </w:rPr>
      </w:pPr>
      <w:r w:rsidRPr="00CB383C">
        <w:rPr>
          <w:sz w:val="27"/>
          <w:szCs w:val="27"/>
          <w:lang w:val="uk-UA"/>
        </w:rPr>
        <w:t>3. Офіційним друкованим органом для розміщення інформації з питань приватизації майна міської комунальної власності вважати Ніжинську міську газету «Вісті» та офіційний сайт Ніжинської міської ради.</w:t>
      </w:r>
    </w:p>
    <w:p w:rsidR="00A6315C" w:rsidRPr="00CB383C" w:rsidRDefault="00A6315C" w:rsidP="00B02036">
      <w:pPr>
        <w:rPr>
          <w:sz w:val="27"/>
          <w:szCs w:val="27"/>
          <w:lang w:val="uk-UA"/>
        </w:rPr>
      </w:pPr>
      <w:r w:rsidRPr="00CB383C">
        <w:rPr>
          <w:sz w:val="27"/>
          <w:szCs w:val="27"/>
          <w:lang w:val="uk-UA"/>
        </w:rPr>
        <w:t>4. Організацію виконання даного рішення покласти на першого заступника міського голови з питань діяльності виконавчих органів ради Олійни</w:t>
      </w:r>
      <w:r w:rsidR="006264FD">
        <w:rPr>
          <w:sz w:val="27"/>
          <w:szCs w:val="27"/>
          <w:lang w:val="uk-UA"/>
        </w:rPr>
        <w:t>ка Г. </w:t>
      </w:r>
      <w:r w:rsidRPr="00CB383C">
        <w:rPr>
          <w:sz w:val="27"/>
          <w:szCs w:val="27"/>
          <w:lang w:val="uk-UA"/>
        </w:rPr>
        <w:t xml:space="preserve">М. та начальника відділу з управління та приватизації комунального майна  </w:t>
      </w:r>
      <w:r w:rsidR="003B438A" w:rsidRPr="00CB383C">
        <w:rPr>
          <w:sz w:val="27"/>
          <w:szCs w:val="27"/>
          <w:lang w:val="uk-UA"/>
        </w:rPr>
        <w:t>Міщенко Н.</w:t>
      </w:r>
      <w:r w:rsidR="006264FD">
        <w:rPr>
          <w:sz w:val="27"/>
          <w:szCs w:val="27"/>
          <w:lang w:val="uk-UA"/>
        </w:rPr>
        <w:t> </w:t>
      </w:r>
      <w:r w:rsidR="003B438A" w:rsidRPr="00CB383C">
        <w:rPr>
          <w:sz w:val="27"/>
          <w:szCs w:val="27"/>
          <w:lang w:val="uk-UA"/>
        </w:rPr>
        <w:t>І.</w:t>
      </w:r>
    </w:p>
    <w:p w:rsidR="00A6315C" w:rsidRPr="00CB383C" w:rsidRDefault="00A6315C" w:rsidP="00B02036">
      <w:pPr>
        <w:rPr>
          <w:sz w:val="27"/>
          <w:szCs w:val="27"/>
          <w:lang w:val="uk-UA"/>
        </w:rPr>
      </w:pPr>
      <w:r w:rsidRPr="00CB383C">
        <w:rPr>
          <w:sz w:val="27"/>
          <w:szCs w:val="27"/>
          <w:lang w:val="uk-UA"/>
        </w:rPr>
        <w:t xml:space="preserve">5. Начальнику відділу з управління та приватизації комунального майна </w:t>
      </w:r>
      <w:r w:rsidR="003B438A" w:rsidRPr="00CB383C">
        <w:rPr>
          <w:sz w:val="27"/>
          <w:szCs w:val="27"/>
          <w:lang w:val="uk-UA"/>
        </w:rPr>
        <w:t>Міщенко Н. І.</w:t>
      </w:r>
      <w:r w:rsidR="00FC0D4A" w:rsidRPr="00CB383C">
        <w:rPr>
          <w:sz w:val="27"/>
          <w:szCs w:val="27"/>
          <w:lang w:val="uk-UA"/>
        </w:rPr>
        <w:t xml:space="preserve"> </w:t>
      </w:r>
      <w:r w:rsidRPr="00CB383C">
        <w:rPr>
          <w:sz w:val="27"/>
          <w:szCs w:val="27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7529F9" w:rsidRPr="00CB383C" w:rsidRDefault="00A6315C" w:rsidP="007529F9">
      <w:pPr>
        <w:rPr>
          <w:sz w:val="27"/>
          <w:szCs w:val="27"/>
          <w:lang w:val="uk-UA"/>
        </w:rPr>
      </w:pPr>
      <w:r w:rsidRPr="00CB383C">
        <w:rPr>
          <w:sz w:val="27"/>
          <w:szCs w:val="27"/>
          <w:lang w:val="uk-UA"/>
        </w:rPr>
        <w:t xml:space="preserve">6. Контроль за виконанням даного рішення покласти на постійну депутатську комісію міської ради </w:t>
      </w:r>
      <w:r w:rsidR="00CD2A63" w:rsidRPr="00CB383C">
        <w:rPr>
          <w:sz w:val="27"/>
          <w:szCs w:val="27"/>
          <w:lang w:val="uk-UA"/>
        </w:rPr>
        <w:t xml:space="preserve">з майнових та житлово-комунальних питань, </w:t>
      </w:r>
      <w:r w:rsidR="00950FD3" w:rsidRPr="00CB383C">
        <w:rPr>
          <w:sz w:val="27"/>
          <w:szCs w:val="27"/>
          <w:lang w:val="uk-UA"/>
        </w:rPr>
        <w:t xml:space="preserve">транспорту, </w:t>
      </w:r>
      <w:r w:rsidR="001A3016" w:rsidRPr="00CB383C">
        <w:rPr>
          <w:sz w:val="27"/>
          <w:szCs w:val="27"/>
          <w:lang w:val="uk-UA"/>
        </w:rPr>
        <w:t>зв’язку</w:t>
      </w:r>
      <w:r w:rsidR="00950FD3" w:rsidRPr="00CB383C">
        <w:rPr>
          <w:sz w:val="27"/>
          <w:szCs w:val="27"/>
          <w:lang w:val="uk-UA"/>
        </w:rPr>
        <w:t xml:space="preserve"> і охорони навколишнього середовища (</w:t>
      </w:r>
      <w:r w:rsidR="003B438A" w:rsidRPr="00CB383C">
        <w:rPr>
          <w:sz w:val="27"/>
          <w:szCs w:val="27"/>
          <w:lang w:val="uk-UA"/>
        </w:rPr>
        <w:t>голова</w:t>
      </w:r>
      <w:r w:rsidR="00950FD3" w:rsidRPr="00CB383C">
        <w:rPr>
          <w:sz w:val="27"/>
          <w:szCs w:val="27"/>
          <w:lang w:val="uk-UA"/>
        </w:rPr>
        <w:t xml:space="preserve"> комісії </w:t>
      </w:r>
      <w:r w:rsidR="00950FD3" w:rsidRPr="00CB383C">
        <w:rPr>
          <w:sz w:val="27"/>
          <w:szCs w:val="27"/>
          <w:lang w:val="uk-UA"/>
        </w:rPr>
        <w:sym w:font="Symbol" w:char="F02D"/>
      </w:r>
      <w:r w:rsidR="00950FD3" w:rsidRPr="00CB383C">
        <w:rPr>
          <w:sz w:val="27"/>
          <w:szCs w:val="27"/>
          <w:lang w:val="uk-UA"/>
        </w:rPr>
        <w:t xml:space="preserve"> </w:t>
      </w:r>
      <w:proofErr w:type="spellStart"/>
      <w:r w:rsidR="003B438A" w:rsidRPr="00CB383C">
        <w:rPr>
          <w:sz w:val="27"/>
          <w:szCs w:val="27"/>
          <w:lang w:val="uk-UA"/>
        </w:rPr>
        <w:t>Онокало</w:t>
      </w:r>
      <w:proofErr w:type="spellEnd"/>
      <w:r w:rsidR="003B438A" w:rsidRPr="00CB383C">
        <w:rPr>
          <w:sz w:val="27"/>
          <w:szCs w:val="27"/>
          <w:lang w:val="uk-UA"/>
        </w:rPr>
        <w:t xml:space="preserve"> І. А.</w:t>
      </w:r>
      <w:r w:rsidR="00950FD3" w:rsidRPr="00CB383C">
        <w:rPr>
          <w:sz w:val="27"/>
          <w:szCs w:val="27"/>
          <w:lang w:val="uk-UA"/>
        </w:rPr>
        <w:t>).</w:t>
      </w:r>
    </w:p>
    <w:p w:rsidR="007529F9" w:rsidRPr="007529F9" w:rsidRDefault="007529F9" w:rsidP="007529F9">
      <w:pPr>
        <w:ind w:firstLine="0"/>
        <w:rPr>
          <w:sz w:val="28"/>
          <w:szCs w:val="28"/>
          <w:lang w:val="uk-UA"/>
        </w:rPr>
      </w:pPr>
    </w:p>
    <w:p w:rsidR="002A11BD" w:rsidRDefault="002A11BD" w:rsidP="007529F9">
      <w:pPr>
        <w:ind w:firstLine="0"/>
        <w:rPr>
          <w:b/>
          <w:sz w:val="28"/>
          <w:szCs w:val="28"/>
          <w:lang w:val="uk-UA"/>
        </w:rPr>
      </w:pPr>
    </w:p>
    <w:p w:rsidR="007529F9" w:rsidRPr="00CB383C" w:rsidRDefault="007529F9" w:rsidP="007529F9">
      <w:pPr>
        <w:ind w:firstLine="0"/>
        <w:rPr>
          <w:b/>
          <w:sz w:val="28"/>
          <w:szCs w:val="28"/>
          <w:lang w:val="uk-UA"/>
        </w:rPr>
      </w:pPr>
      <w:r w:rsidRPr="007529F9">
        <w:rPr>
          <w:b/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7529F9">
        <w:rPr>
          <w:b/>
          <w:sz w:val="28"/>
          <w:szCs w:val="28"/>
          <w:lang w:val="uk-UA"/>
        </w:rPr>
        <w:t xml:space="preserve">    А. В. Лінник</w:t>
      </w: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1A3016" w:rsidRPr="00812C74" w:rsidTr="0012083D">
        <w:tc>
          <w:tcPr>
            <w:tcW w:w="4785" w:type="dxa"/>
          </w:tcPr>
          <w:p w:rsidR="001A3016" w:rsidRDefault="001A3016" w:rsidP="001A301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 № 1</w:t>
            </w:r>
          </w:p>
          <w:p w:rsidR="0012083D" w:rsidRDefault="001A3016" w:rsidP="001A301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Ніжинської міської ради </w:t>
            </w:r>
          </w:p>
          <w:p w:rsidR="0012083D" w:rsidRDefault="001A3016" w:rsidP="001A301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1A301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скликання </w:t>
            </w:r>
          </w:p>
          <w:p w:rsidR="001A3016" w:rsidRPr="001A3016" w:rsidRDefault="00812C74" w:rsidP="001A301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11 квітня </w:t>
            </w:r>
            <w:r w:rsidR="0012083D">
              <w:rPr>
                <w:sz w:val="28"/>
                <w:szCs w:val="28"/>
                <w:lang w:val="uk-UA"/>
              </w:rPr>
              <w:t>2018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  <w:r w:rsidR="0012083D">
              <w:rPr>
                <w:sz w:val="28"/>
                <w:szCs w:val="28"/>
                <w:lang w:val="uk-UA"/>
              </w:rPr>
              <w:t xml:space="preserve"> </w:t>
            </w:r>
            <w:r w:rsidR="001A3016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14-37</w:t>
            </w:r>
            <w:r w:rsidR="001A3016">
              <w:rPr>
                <w:sz w:val="28"/>
                <w:szCs w:val="28"/>
                <w:lang w:val="uk-UA"/>
              </w:rPr>
              <w:t>/</w:t>
            </w:r>
            <w:r w:rsidR="0012083D">
              <w:rPr>
                <w:sz w:val="28"/>
                <w:szCs w:val="28"/>
                <w:lang w:val="uk-UA"/>
              </w:rPr>
              <w:t>2018</w:t>
            </w:r>
          </w:p>
        </w:tc>
      </w:tr>
    </w:tbl>
    <w:p w:rsidR="00A6315C" w:rsidRDefault="00A6315C" w:rsidP="001A3016">
      <w:pPr>
        <w:ind w:firstLine="0"/>
        <w:rPr>
          <w:sz w:val="28"/>
          <w:szCs w:val="28"/>
          <w:lang w:val="uk-UA"/>
        </w:rPr>
      </w:pP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ОБЄКТІВ</w:t>
      </w: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 територіальної громади міста Ніжина,</w:t>
      </w: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підлягають приватизації</w:t>
      </w: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534"/>
        <w:gridCol w:w="4110"/>
        <w:gridCol w:w="2534"/>
        <w:gridCol w:w="2393"/>
      </w:tblGrid>
      <w:tr w:rsidR="0000632E" w:rsidRPr="0000632E" w:rsidTr="00270C2D">
        <w:tc>
          <w:tcPr>
            <w:tcW w:w="534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Назва об’єкта приватизації</w:t>
            </w:r>
          </w:p>
        </w:tc>
        <w:tc>
          <w:tcPr>
            <w:tcW w:w="2534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393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Спосіб приватизації</w:t>
            </w:r>
          </w:p>
        </w:tc>
      </w:tr>
      <w:tr w:rsidR="0000632E" w:rsidTr="00270C2D">
        <w:tc>
          <w:tcPr>
            <w:tcW w:w="534" w:type="dxa"/>
          </w:tcPr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</w:tcPr>
          <w:p w:rsidR="0000632E" w:rsidRDefault="00270C2D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Нежитлова будівля загальною площею 740,4* кв. м. разом із земельною ділянкою на якій вона розташована </w:t>
            </w:r>
          </w:p>
        </w:tc>
        <w:tc>
          <w:tcPr>
            <w:tcW w:w="2534" w:type="dxa"/>
          </w:tcPr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Ніжин,</w:t>
            </w:r>
          </w:p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Шекерогринівська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будинок </w:t>
            </w:r>
            <w:r w:rsidR="00B60633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2393" w:type="dxa"/>
          </w:tcPr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 в електронній формі</w:t>
            </w:r>
          </w:p>
        </w:tc>
      </w:tr>
    </w:tbl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*- остаточна площа об’єкта буде визначена після проведення інвентаризації і виготовлення технічної документації.</w:t>
      </w: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Ніжинської міської ради                                                 В. В. Салогуб</w:t>
      </w: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1253CF" w:rsidRDefault="001253CF" w:rsidP="00270C2D">
      <w:pPr>
        <w:ind w:firstLine="0"/>
        <w:jc w:val="center"/>
        <w:rPr>
          <w:b/>
          <w:sz w:val="28"/>
          <w:szCs w:val="28"/>
          <w:lang w:val="uk-UA"/>
        </w:rPr>
      </w:pPr>
    </w:p>
    <w:p w:rsidR="00270C2D" w:rsidRDefault="00270C2D" w:rsidP="00270C2D">
      <w:pPr>
        <w:ind w:firstLine="0"/>
        <w:jc w:val="center"/>
        <w:rPr>
          <w:b/>
          <w:sz w:val="28"/>
          <w:szCs w:val="28"/>
          <w:lang w:val="uk-UA"/>
        </w:rPr>
      </w:pPr>
      <w:r w:rsidRPr="00270C2D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270C2D" w:rsidRDefault="00270C2D" w:rsidP="00270C2D">
      <w:pPr>
        <w:ind w:firstLine="0"/>
        <w:jc w:val="center"/>
        <w:rPr>
          <w:b/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Проект рішення Ніжинської міської ради</w:t>
      </w:r>
      <w:r w:rsidR="00927D61">
        <w:rPr>
          <w:sz w:val="28"/>
          <w:szCs w:val="28"/>
          <w:lang w:val="uk-UA"/>
        </w:rPr>
        <w:t xml:space="preserve"> «Про перелік об’єктів комунальної власності територіальної громади міста Ніжина, що підлягають приватизації» підготовлений у</w:t>
      </w:r>
      <w:r w:rsidR="00927D61" w:rsidRPr="00BC0ECF">
        <w:rPr>
          <w:sz w:val="28"/>
          <w:szCs w:val="28"/>
          <w:lang w:val="uk-UA"/>
        </w:rPr>
        <w:t xml:space="preserve"> відп</w:t>
      </w:r>
      <w:r w:rsidR="00927D61">
        <w:rPr>
          <w:sz w:val="28"/>
          <w:szCs w:val="28"/>
          <w:lang w:val="uk-UA"/>
        </w:rPr>
        <w:t xml:space="preserve">овідності до статей 25, 26, 42, </w:t>
      </w:r>
      <w:r w:rsidR="00927D61" w:rsidRPr="00BC0ECF">
        <w:rPr>
          <w:sz w:val="28"/>
          <w:szCs w:val="28"/>
          <w:lang w:val="uk-UA"/>
        </w:rPr>
        <w:t xml:space="preserve">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</w:t>
      </w:r>
      <w:r w:rsidR="0084273F">
        <w:rPr>
          <w:sz w:val="28"/>
          <w:szCs w:val="28"/>
          <w:lang w:val="uk-UA"/>
        </w:rPr>
        <w:t xml:space="preserve">статей 7, 11 </w:t>
      </w:r>
      <w:r w:rsidR="00927D61" w:rsidRPr="00BC0ECF">
        <w:rPr>
          <w:sz w:val="28"/>
          <w:szCs w:val="28"/>
          <w:lang w:val="uk-UA"/>
        </w:rPr>
        <w:t>Закону України «Про приватизацію невеликих державних підприємств (малу приватизацію)», інших законодавчих та нормативних актів, що регламентують процес приватизації</w:t>
      </w:r>
      <w:r w:rsidR="00927D61">
        <w:rPr>
          <w:sz w:val="28"/>
          <w:szCs w:val="28"/>
          <w:lang w:val="uk-UA"/>
        </w:rPr>
        <w:t xml:space="preserve"> та за результатами розгляду рекомендації постійної комісії міської ради з майнових та житлово-комунальних питань, транспорту, зв’язку та охорони навколишнього середовища</w:t>
      </w:r>
      <w:r w:rsidR="00781BFB">
        <w:rPr>
          <w:sz w:val="28"/>
          <w:szCs w:val="28"/>
          <w:lang w:val="uk-UA"/>
        </w:rPr>
        <w:t xml:space="preserve"> від 22 листопада 2017 року</w:t>
      </w:r>
      <w:r w:rsidR="00927D61">
        <w:rPr>
          <w:sz w:val="28"/>
          <w:szCs w:val="28"/>
          <w:lang w:val="uk-UA"/>
        </w:rPr>
        <w:t>,</w:t>
      </w:r>
      <w:r w:rsidR="00781BFB">
        <w:rPr>
          <w:sz w:val="28"/>
          <w:szCs w:val="28"/>
          <w:lang w:val="uk-UA"/>
        </w:rPr>
        <w:t xml:space="preserve"> </w:t>
      </w:r>
      <w:r w:rsidR="00927D61">
        <w:rPr>
          <w:sz w:val="28"/>
          <w:szCs w:val="28"/>
          <w:lang w:val="uk-UA"/>
        </w:rPr>
        <w:t xml:space="preserve">а також доручення міського голови у відповідності до озвученого на 35 сесії міської ради від 31 січня </w:t>
      </w:r>
      <w:r w:rsidR="00927D61">
        <w:rPr>
          <w:sz w:val="28"/>
          <w:szCs w:val="28"/>
          <w:lang w:val="uk-UA"/>
        </w:rPr>
        <w:sym w:font="Symbol" w:char="F02D"/>
      </w:r>
      <w:r w:rsidR="00927D61">
        <w:rPr>
          <w:sz w:val="28"/>
          <w:szCs w:val="28"/>
          <w:lang w:val="uk-UA"/>
        </w:rPr>
        <w:t xml:space="preserve"> 02 лютого</w:t>
      </w:r>
      <w:r w:rsidR="0084273F">
        <w:rPr>
          <w:sz w:val="28"/>
          <w:szCs w:val="28"/>
          <w:lang w:val="uk-UA"/>
        </w:rPr>
        <w:t xml:space="preserve"> депутатського звернення, відповідно </w:t>
      </w:r>
      <w:r w:rsidR="00927D61">
        <w:rPr>
          <w:sz w:val="28"/>
          <w:szCs w:val="28"/>
          <w:lang w:val="uk-UA"/>
        </w:rPr>
        <w:t>до вимог статті 13 Закону України «Про статус депутатів місцевих рад»</w:t>
      </w:r>
      <w:r w:rsidR="0084273F">
        <w:rPr>
          <w:sz w:val="28"/>
          <w:szCs w:val="28"/>
          <w:lang w:val="uk-UA"/>
        </w:rPr>
        <w:t>.</w:t>
      </w:r>
    </w:p>
    <w:p w:rsidR="0084273F" w:rsidRDefault="0084273F" w:rsidP="0084273F">
      <w:pPr>
        <w:ind w:firstLine="709"/>
        <w:rPr>
          <w:sz w:val="28"/>
          <w:szCs w:val="28"/>
          <w:lang w:val="uk-UA"/>
        </w:rPr>
      </w:pPr>
      <w:r w:rsidRPr="00661D8F">
        <w:rPr>
          <w:sz w:val="28"/>
          <w:szCs w:val="28"/>
          <w:lang w:val="uk-UA"/>
        </w:rPr>
        <w:t>Метою прийняття рішення є активізація приватизації та збільшення надходження коштів від продажу об’єктів комунальної власності тер</w:t>
      </w:r>
      <w:r>
        <w:rPr>
          <w:sz w:val="28"/>
          <w:szCs w:val="28"/>
          <w:lang w:val="uk-UA"/>
        </w:rPr>
        <w:t>иторіальної громади м. Ніжина до міського бюджету</w:t>
      </w:r>
      <w:r w:rsidRPr="00661D8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зменшення витрат на утримання та оптимізація</w:t>
      </w:r>
      <w:r w:rsidRPr="00661D8F">
        <w:rPr>
          <w:sz w:val="28"/>
          <w:szCs w:val="28"/>
          <w:lang w:val="uk-UA"/>
        </w:rPr>
        <w:t xml:space="preserve"> структури комунальної власності.</w:t>
      </w:r>
    </w:p>
    <w:p w:rsidR="0084273F" w:rsidRDefault="0084273F" w:rsidP="00270C2D">
      <w:pPr>
        <w:ind w:firstLine="0"/>
        <w:rPr>
          <w:sz w:val="28"/>
          <w:szCs w:val="28"/>
          <w:lang w:val="uk-UA"/>
        </w:rPr>
      </w:pPr>
    </w:p>
    <w:p w:rsidR="0084273F" w:rsidRDefault="0084273F" w:rsidP="00270C2D">
      <w:pPr>
        <w:ind w:firstLine="0"/>
        <w:rPr>
          <w:sz w:val="28"/>
          <w:szCs w:val="28"/>
          <w:lang w:val="uk-UA"/>
        </w:rPr>
      </w:pPr>
    </w:p>
    <w:p w:rsidR="0084273F" w:rsidRDefault="00781BFB" w:rsidP="00270C2D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управління</w:t>
      </w: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приватизації комунального майна                                </w:t>
      </w:r>
      <w:r w:rsidR="00A227A3">
        <w:rPr>
          <w:sz w:val="28"/>
          <w:szCs w:val="28"/>
          <w:lang w:val="uk-UA"/>
        </w:rPr>
        <w:t xml:space="preserve">      Н. І. Міщенко</w:t>
      </w: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  <w:gridCol w:w="5099"/>
      </w:tblGrid>
      <w:tr w:rsidR="00781BFB" w:rsidRPr="00F97AAD" w:rsidTr="0093585F">
        <w:tc>
          <w:tcPr>
            <w:tcW w:w="4644" w:type="dxa"/>
          </w:tcPr>
          <w:p w:rsidR="00781BFB" w:rsidRPr="00F97AAD" w:rsidRDefault="00B15F35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Візують: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DF3E3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DF3E39">
              <w:rPr>
                <w:sz w:val="28"/>
                <w:szCs w:val="28"/>
                <w:lang w:val="uk-UA"/>
              </w:rPr>
              <w:t>Н. І. Міщенко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Г. М. Олійник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В. В. Салогуб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F97AAD">
              <w:rPr>
                <w:sz w:val="28"/>
                <w:szCs w:val="28"/>
                <w:lang w:val="uk-UA"/>
              </w:rPr>
              <w:t>В. О. Лега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DF3E3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="00781BFB" w:rsidRPr="00F97AAD">
              <w:rPr>
                <w:sz w:val="28"/>
                <w:szCs w:val="28"/>
                <w:lang w:val="uk-UA"/>
              </w:rPr>
              <w:t xml:space="preserve"> постійної депутатської комісії міської ради з майнових та житлово-комунальних питань,</w:t>
            </w:r>
            <w:r w:rsidR="00781BFB">
              <w:rPr>
                <w:sz w:val="28"/>
                <w:szCs w:val="28"/>
                <w:lang w:val="uk-UA"/>
              </w:rPr>
              <w:t xml:space="preserve"> транспорту, зв’язку та охорони </w:t>
            </w:r>
            <w:r w:rsidR="00781BFB" w:rsidRPr="00F97AAD">
              <w:rPr>
                <w:sz w:val="28"/>
                <w:szCs w:val="28"/>
                <w:lang w:val="uk-UA"/>
              </w:rPr>
              <w:t>навколишнього середовища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DF3E3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="00DF3E39">
              <w:rPr>
                <w:sz w:val="28"/>
                <w:szCs w:val="28"/>
                <w:lang w:val="uk-UA"/>
              </w:rPr>
              <w:t xml:space="preserve">І. А. </w:t>
            </w:r>
            <w:proofErr w:type="spellStart"/>
            <w:r w:rsidR="00DF3E39">
              <w:rPr>
                <w:sz w:val="28"/>
                <w:szCs w:val="28"/>
                <w:lang w:val="uk-UA"/>
              </w:rPr>
              <w:t>Онокало</w:t>
            </w:r>
            <w:proofErr w:type="spellEnd"/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О. В. Щербак</w:t>
            </w:r>
          </w:p>
        </w:tc>
      </w:tr>
    </w:tbl>
    <w:p w:rsidR="00781BFB" w:rsidRPr="00270C2D" w:rsidRDefault="00781BFB" w:rsidP="00270C2D">
      <w:pPr>
        <w:ind w:firstLine="0"/>
        <w:rPr>
          <w:sz w:val="28"/>
          <w:szCs w:val="28"/>
          <w:lang w:val="uk-UA"/>
        </w:rPr>
      </w:pPr>
    </w:p>
    <w:sectPr w:rsidR="00781BFB" w:rsidRPr="00270C2D" w:rsidSect="0088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6BC"/>
    <w:multiLevelType w:val="hybridMultilevel"/>
    <w:tmpl w:val="F6804816"/>
    <w:lvl w:ilvl="0" w:tplc="1976270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0609A6"/>
    <w:multiLevelType w:val="hybridMultilevel"/>
    <w:tmpl w:val="A5D2E6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881"/>
    <w:rsid w:val="0000632E"/>
    <w:rsid w:val="00104CE6"/>
    <w:rsid w:val="0012083D"/>
    <w:rsid w:val="001253CF"/>
    <w:rsid w:val="001333CE"/>
    <w:rsid w:val="00133EC8"/>
    <w:rsid w:val="001A3016"/>
    <w:rsid w:val="001F710C"/>
    <w:rsid w:val="00270C2D"/>
    <w:rsid w:val="002A11BD"/>
    <w:rsid w:val="002E3B3A"/>
    <w:rsid w:val="003345E1"/>
    <w:rsid w:val="0036045C"/>
    <w:rsid w:val="003B438A"/>
    <w:rsid w:val="00491CF9"/>
    <w:rsid w:val="004E6732"/>
    <w:rsid w:val="006264FD"/>
    <w:rsid w:val="00630CEF"/>
    <w:rsid w:val="006E2EC2"/>
    <w:rsid w:val="007529F9"/>
    <w:rsid w:val="00781BFB"/>
    <w:rsid w:val="00812C74"/>
    <w:rsid w:val="008228DD"/>
    <w:rsid w:val="0084273F"/>
    <w:rsid w:val="0088007A"/>
    <w:rsid w:val="00927D61"/>
    <w:rsid w:val="00944B6C"/>
    <w:rsid w:val="00950FD3"/>
    <w:rsid w:val="00A227A3"/>
    <w:rsid w:val="00A6315C"/>
    <w:rsid w:val="00B02036"/>
    <w:rsid w:val="00B15F35"/>
    <w:rsid w:val="00B60633"/>
    <w:rsid w:val="00BC0ECF"/>
    <w:rsid w:val="00CB383C"/>
    <w:rsid w:val="00CD2A63"/>
    <w:rsid w:val="00DD4881"/>
    <w:rsid w:val="00DD646A"/>
    <w:rsid w:val="00DF3E39"/>
    <w:rsid w:val="00FC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8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48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036"/>
    <w:pPr>
      <w:ind w:left="720"/>
      <w:contextualSpacing/>
    </w:pPr>
  </w:style>
  <w:style w:type="paragraph" w:styleId="a8">
    <w:name w:val="Normal (Web)"/>
    <w:basedOn w:val="a"/>
    <w:uiPriority w:val="99"/>
    <w:rsid w:val="00781B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2018-04-12T12:25:00Z</cp:lastPrinted>
  <dcterms:created xsi:type="dcterms:W3CDTF">2018-02-14T07:57:00Z</dcterms:created>
  <dcterms:modified xsi:type="dcterms:W3CDTF">2018-04-12T12:26:00Z</dcterms:modified>
</cp:coreProperties>
</file>